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C22FD" w14:textId="2B1306C8" w:rsidR="00857FBA" w:rsidRPr="00D3267E" w:rsidRDefault="00857FBA" w:rsidP="00857FBA">
      <w:pPr>
        <w:keepNext/>
        <w:spacing w:before="240" w:after="60"/>
        <w:jc w:val="center"/>
        <w:outlineLvl w:val="0"/>
        <w:rPr>
          <w:rFonts w:eastAsia="SimSun"/>
          <w:b/>
          <w:bCs/>
          <w:kern w:val="32"/>
          <w:szCs w:val="24"/>
          <w:lang w:val="es-ES"/>
        </w:rPr>
      </w:pPr>
      <w:r w:rsidRPr="00DB387B">
        <w:rPr>
          <w:rFonts w:eastAsia="SimSun"/>
          <w:b/>
          <w:sz w:val="28"/>
          <w:lang w:val="es-ES_tradnl" w:eastAsia="zh-CN"/>
        </w:rPr>
        <w:t>Consolidación de asignaciones de frecuencias de diferentes redes OSG</w:t>
      </w:r>
      <w:r w:rsidR="00D47A90">
        <w:rPr>
          <w:rFonts w:eastAsia="SimSun"/>
          <w:b/>
          <w:sz w:val="28"/>
          <w:lang w:val="es-ES_tradnl" w:eastAsia="zh-CN"/>
        </w:rPr>
        <w:br/>
      </w:r>
      <w:r w:rsidRPr="00DB387B">
        <w:rPr>
          <w:rFonts w:eastAsia="SimSun"/>
          <w:b/>
          <w:sz w:val="28"/>
          <w:lang w:val="es-ES_tradnl" w:eastAsia="zh-CN"/>
        </w:rPr>
        <w:t>presentadas por una administración en la misma posición orbital,</w:t>
      </w:r>
      <w:r w:rsidR="00D47A90">
        <w:rPr>
          <w:rFonts w:eastAsia="SimSun"/>
          <w:b/>
          <w:sz w:val="28"/>
          <w:lang w:val="es-ES_tradnl" w:eastAsia="zh-CN"/>
        </w:rPr>
        <w:br/>
      </w:r>
      <w:r w:rsidRPr="00DB387B">
        <w:rPr>
          <w:rFonts w:eastAsia="SimSun"/>
          <w:b/>
          <w:sz w:val="28"/>
          <w:lang w:val="es-ES_tradnl" w:eastAsia="zh-CN"/>
        </w:rPr>
        <w:t>en asignaciones de frecuencias de una única red de satélites</w:t>
      </w:r>
    </w:p>
    <w:p w14:paraId="7EE7258A" w14:textId="77777777" w:rsidR="00857FBA" w:rsidRPr="00D3267E" w:rsidRDefault="00857FBA" w:rsidP="00857FBA">
      <w:pPr>
        <w:pStyle w:val="Heading1"/>
        <w:spacing w:before="360"/>
        <w:rPr>
          <w:rFonts w:eastAsia="SimSun"/>
          <w:lang w:val="es-ES"/>
        </w:rPr>
      </w:pPr>
      <w:r w:rsidRPr="00D3267E">
        <w:rPr>
          <w:rFonts w:eastAsia="SimSun"/>
          <w:lang w:val="es-ES"/>
        </w:rPr>
        <w:t>1</w:t>
      </w:r>
      <w:r w:rsidRPr="00D3267E">
        <w:rPr>
          <w:rFonts w:eastAsia="SimSun"/>
          <w:lang w:val="es-ES"/>
        </w:rPr>
        <w:tab/>
        <w:t>Introducción</w:t>
      </w:r>
    </w:p>
    <w:p w14:paraId="049812FA" w14:textId="77777777" w:rsidR="00857FBA" w:rsidRPr="00D3267E" w:rsidRDefault="00857FBA" w:rsidP="00857FBA">
      <w:pPr>
        <w:rPr>
          <w:rFonts w:eastAsia="SimSun"/>
          <w:lang w:val="es-ES"/>
        </w:rPr>
      </w:pPr>
      <w:r w:rsidRPr="00D3267E">
        <w:rPr>
          <w:rFonts w:eastAsia="SimSun"/>
          <w:lang w:val="es-ES"/>
        </w:rPr>
        <w:t>La Junta tomó nota de que la CMR-12 necesita una descripción detallada de las medidas adoptadas por la Oficina de Radiocomunicaciones con respecto a la consolidación de las asignaciones de frecuencias de diferentes redes de la órbita de satélites geoestacionarios (OSG) presentadas por una administración en la misma posición orbital, en asignaciones de frecuencias de una única red de satélites.</w:t>
      </w:r>
    </w:p>
    <w:p w14:paraId="591CAD67" w14:textId="77777777" w:rsidR="00857FBA" w:rsidRPr="00D3267E" w:rsidRDefault="00857FBA" w:rsidP="00857FBA">
      <w:pPr>
        <w:spacing w:before="120"/>
        <w:rPr>
          <w:rFonts w:eastAsia="SimSun"/>
          <w:lang w:val="es-ES"/>
        </w:rPr>
      </w:pPr>
      <w:r w:rsidRPr="00D3267E">
        <w:rPr>
          <w:rFonts w:eastAsia="SimSun"/>
          <w:lang w:val="es-ES"/>
        </w:rPr>
        <w:t>En este sentido, la Junta entiende que la consolidación de las asignaciones de frecuencias de redes OSG será posible únicamente para las asignaciones inscriptas en el Registro, asociadas con redes de satélites situadas exactamente en la misma posición orbital, a petición de la administración (o la administración que actúa en nombre de un grupo de administraciones nominadas) que notifica las asignaciones. Se aplicarán los siguientes principios.</w:t>
      </w:r>
    </w:p>
    <w:p w14:paraId="3C35252E" w14:textId="49CB246D" w:rsidR="00857FBA" w:rsidRPr="00D3267E" w:rsidRDefault="00857FBA" w:rsidP="00857FBA">
      <w:pPr>
        <w:pStyle w:val="Heading1"/>
        <w:spacing w:before="360"/>
        <w:rPr>
          <w:rFonts w:eastAsia="SimSun"/>
          <w:lang w:val="es-ES"/>
        </w:rPr>
      </w:pPr>
      <w:r w:rsidRPr="00D3267E">
        <w:rPr>
          <w:rFonts w:eastAsia="SimSun"/>
          <w:lang w:val="es-ES"/>
        </w:rPr>
        <w:t>2</w:t>
      </w:r>
      <w:r w:rsidRPr="00D3267E">
        <w:rPr>
          <w:rFonts w:eastAsia="SimSun"/>
          <w:lang w:val="es-ES"/>
        </w:rPr>
        <w:tab/>
        <w:t>Estructura de la notificación</w:t>
      </w:r>
    </w:p>
    <w:p w14:paraId="5DE02A9A" w14:textId="77777777" w:rsidR="00857FBA" w:rsidRPr="00D3267E" w:rsidRDefault="00857FBA" w:rsidP="00857FBA">
      <w:pPr>
        <w:rPr>
          <w:rFonts w:eastAsia="SimSun"/>
          <w:lang w:val="es-ES"/>
        </w:rPr>
      </w:pPr>
      <w:r w:rsidRPr="00D3267E">
        <w:rPr>
          <w:rFonts w:eastAsia="SimSun"/>
          <w:lang w:val="es-ES"/>
        </w:rPr>
        <w:t>La consolidación de las asignaciones de frecuencias inscritas de varias redes de satélites en una única red consistirá en combinar todos los datos alfanuméricos relativos a las asignaciones de frecuencias de las redes OSG correspondientes que figuran en la base de datos de los sistemas de redes espaciales de la Oficina de Radiocomunicaciones y los datos gráficos asociados contenidos en la base de datos de referencia del programa informático del sistema gráfico de gestión de interferencias (GIMS).</w:t>
      </w:r>
    </w:p>
    <w:p w14:paraId="7BCF4E6D" w14:textId="77777777" w:rsidR="00857FBA" w:rsidRPr="00D3267E" w:rsidRDefault="00857FBA" w:rsidP="00857FBA">
      <w:pPr>
        <w:pStyle w:val="Heading2"/>
        <w:spacing w:before="360"/>
        <w:rPr>
          <w:rFonts w:eastAsia="SimSun"/>
          <w:lang w:val="es-ES"/>
        </w:rPr>
      </w:pPr>
      <w:r w:rsidRPr="00D3267E">
        <w:rPr>
          <w:rFonts w:eastAsia="SimSun"/>
          <w:lang w:val="es-ES"/>
        </w:rPr>
        <w:t>2.1</w:t>
      </w:r>
      <w:r w:rsidRPr="00D3267E">
        <w:rPr>
          <w:rFonts w:eastAsia="SimSun"/>
          <w:lang w:val="es-ES"/>
        </w:rPr>
        <w:tab/>
        <w:t>Identidad de la red de satélites (Apéndice 4, Anexo 2, A1)</w:t>
      </w:r>
    </w:p>
    <w:p w14:paraId="5B00AECC" w14:textId="77777777" w:rsidR="00857FBA" w:rsidRPr="00D3267E" w:rsidRDefault="00857FBA" w:rsidP="00857FBA">
      <w:pPr>
        <w:rPr>
          <w:rFonts w:eastAsia="SimSun"/>
          <w:lang w:val="es-ES"/>
        </w:rPr>
      </w:pPr>
      <w:r w:rsidRPr="00D3267E">
        <w:rPr>
          <w:rFonts w:eastAsia="SimSun"/>
          <w:lang w:val="es-ES"/>
        </w:rPr>
        <w:t>Se clasificarán para la consolidación únicamente las redes de satélites con idéntica información relativa a la administración notificante:</w:t>
      </w:r>
    </w:p>
    <w:p w14:paraId="443EA40C"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 xml:space="preserve">A.1.f.1 </w:t>
      </w:r>
      <w:r w:rsidRPr="00D3267E">
        <w:rPr>
          <w:rFonts w:eastAsia="SimSun"/>
          <w:lang w:val="es-ES"/>
        </w:rPr>
        <w:tab/>
        <w:t xml:space="preserve">Administración notificante </w:t>
      </w:r>
    </w:p>
    <w:p w14:paraId="32283554"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 xml:space="preserve">A.1.f.2 </w:t>
      </w:r>
      <w:r w:rsidRPr="00D3267E">
        <w:rPr>
          <w:rFonts w:eastAsia="SimSun"/>
          <w:lang w:val="es-ES"/>
        </w:rPr>
        <w:tab/>
        <w:t xml:space="preserve">Grupo de Administraciones </w:t>
      </w:r>
    </w:p>
    <w:p w14:paraId="4B92B09B"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A.1.f.3</w:t>
      </w:r>
      <w:r w:rsidRPr="00D3267E">
        <w:rPr>
          <w:rFonts w:eastAsia="SimSun"/>
          <w:lang w:val="es-ES"/>
        </w:rPr>
        <w:tab/>
      </w:r>
      <w:r>
        <w:rPr>
          <w:rFonts w:eastAsia="SimSun"/>
          <w:lang w:val="es-ES"/>
        </w:rPr>
        <w:tab/>
      </w:r>
      <w:r w:rsidRPr="00D3267E">
        <w:rPr>
          <w:rFonts w:eastAsia="SimSun"/>
          <w:lang w:val="es-ES"/>
        </w:rPr>
        <w:t xml:space="preserve">Organización intergubernamental de satélites </w:t>
      </w:r>
    </w:p>
    <w:p w14:paraId="558E0306" w14:textId="77777777" w:rsidR="00857FBA" w:rsidRPr="00D3267E" w:rsidRDefault="00857FBA" w:rsidP="00857FBA">
      <w:pPr>
        <w:pStyle w:val="Heading2"/>
        <w:spacing w:before="360"/>
        <w:rPr>
          <w:rFonts w:eastAsia="SimSun"/>
          <w:lang w:val="es-ES"/>
        </w:rPr>
      </w:pPr>
      <w:r w:rsidRPr="00D3267E">
        <w:rPr>
          <w:rFonts w:eastAsia="SimSun"/>
          <w:lang w:val="es-ES"/>
        </w:rPr>
        <w:t>2.2</w:t>
      </w:r>
      <w:r w:rsidRPr="00D3267E">
        <w:rPr>
          <w:rFonts w:eastAsia="SimSun"/>
          <w:lang w:val="es-ES"/>
        </w:rPr>
        <w:tab/>
        <w:t>Información orbital (Apéndice 4, Anexo 2, A4)</w:t>
      </w:r>
    </w:p>
    <w:p w14:paraId="4416D96B" w14:textId="77777777" w:rsidR="00857FBA" w:rsidRPr="00D3267E" w:rsidRDefault="00857FBA" w:rsidP="00857FBA">
      <w:pPr>
        <w:rPr>
          <w:rFonts w:eastAsia="SimSun"/>
          <w:szCs w:val="24"/>
          <w:lang w:val="es-ES"/>
        </w:rPr>
      </w:pPr>
      <w:r w:rsidRPr="00D3267E">
        <w:rPr>
          <w:rFonts w:eastAsia="SimSun"/>
          <w:szCs w:val="24"/>
          <w:lang w:val="es-ES"/>
        </w:rPr>
        <w:t>Las redes de satélites que se consolidarán tendrán la misma posición orbital (A.4.a.1).</w:t>
      </w:r>
    </w:p>
    <w:p w14:paraId="3B9FA85A" w14:textId="77777777" w:rsidR="00857FBA" w:rsidRPr="00D3267E" w:rsidRDefault="00857FBA" w:rsidP="00857FBA">
      <w:pPr>
        <w:rPr>
          <w:rFonts w:eastAsia="SimSun"/>
          <w:lang w:val="es-ES"/>
        </w:rPr>
      </w:pPr>
      <w:r w:rsidRPr="00D3267E">
        <w:rPr>
          <w:rFonts w:eastAsia="SimSun"/>
          <w:lang w:val="es-ES"/>
        </w:rPr>
        <w:t>En caso de diferentes valores para la tolerancia longitudinal (A.4.a.2.a.b) y/o excursión de inclinación (A.4.a.2.c), se utilizarán los valores más pequeños de una red consolidada. Queda entendido que las operaciones de las redes de satélites consolidadas corresponderán al valor más pequeño de la tolerancia longitudinal y/o excursión de inclinación.</w:t>
      </w:r>
    </w:p>
    <w:p w14:paraId="770A4D4C" w14:textId="77777777" w:rsidR="00857FBA" w:rsidRPr="00D3267E" w:rsidRDefault="00857FBA" w:rsidP="00857FBA">
      <w:pPr>
        <w:pStyle w:val="Heading2"/>
        <w:rPr>
          <w:rFonts w:eastAsia="SimSun"/>
          <w:lang w:val="es-ES"/>
        </w:rPr>
      </w:pPr>
      <w:r w:rsidRPr="00D3267E">
        <w:rPr>
          <w:rFonts w:eastAsia="SimSun"/>
          <w:lang w:val="es-ES"/>
        </w:rPr>
        <w:lastRenderedPageBreak/>
        <w:t>2.3</w:t>
      </w:r>
      <w:r w:rsidRPr="00D3267E">
        <w:rPr>
          <w:rFonts w:eastAsia="SimSun"/>
          <w:lang w:val="es-ES"/>
        </w:rPr>
        <w:tab/>
        <w:t xml:space="preserve">Características del haz de antena y del Grupo de asignaciones de frecuencias (Apéndice 4, Anexo 2, B y C) </w:t>
      </w:r>
    </w:p>
    <w:p w14:paraId="61445D2F" w14:textId="77777777" w:rsidR="00857FBA" w:rsidRPr="00D3267E" w:rsidRDefault="00857FBA" w:rsidP="00857FBA">
      <w:pPr>
        <w:rPr>
          <w:rFonts w:eastAsia="SimSun"/>
          <w:szCs w:val="24"/>
          <w:lang w:val="es-ES"/>
        </w:rPr>
      </w:pPr>
      <w:r w:rsidRPr="00D3267E">
        <w:rPr>
          <w:rFonts w:eastAsia="SimSun"/>
          <w:szCs w:val="24"/>
          <w:lang w:val="es-ES"/>
        </w:rPr>
        <w:t>La designación del haz de antena de satélite y las características individuales asociadas (diagramas de ganancia y de contorno de ganancia, diagramas de radiación de antena y diagramas de ganancia de la antena en la dirección de las partes de la órbita de satélites geoestacionarios que no están obstruidas por la Tierra, zona de servicio) se mantendrán sin cambios como haces separados en la única notificación de las redes de satélites consolidadas, a menos que la administración notificante solicite otra cosa.</w:t>
      </w:r>
    </w:p>
    <w:p w14:paraId="16B7C897" w14:textId="77777777" w:rsidR="00857FBA" w:rsidRPr="00D3267E" w:rsidRDefault="00857FBA" w:rsidP="00857FBA">
      <w:pPr>
        <w:rPr>
          <w:rFonts w:eastAsia="SimSun"/>
          <w:szCs w:val="24"/>
          <w:lang w:val="es-ES"/>
        </w:rPr>
      </w:pPr>
      <w:r w:rsidRPr="00D3267E">
        <w:rPr>
          <w:rFonts w:eastAsia="SimSun"/>
          <w:szCs w:val="24"/>
          <w:lang w:val="es-ES"/>
        </w:rPr>
        <w:t xml:space="preserve">Las características de cada grupo de asignaciones de frecuencias para un haz de antena de satélite, incluida la fecha de recepción de la información completa con arreglo al número </w:t>
      </w:r>
      <w:r w:rsidRPr="00D3267E">
        <w:rPr>
          <w:rFonts w:eastAsia="SimSun"/>
          <w:b/>
          <w:bCs/>
          <w:szCs w:val="24"/>
          <w:lang w:val="es-ES"/>
        </w:rPr>
        <w:t>9.34</w:t>
      </w:r>
      <w:r w:rsidRPr="00D3267E">
        <w:rPr>
          <w:rFonts w:eastAsia="SimSun"/>
          <w:szCs w:val="24"/>
          <w:lang w:val="es-ES"/>
        </w:rPr>
        <w:t xml:space="preserve"> y todas las observaciones en el Registro, se mantendrán sin cambios y separadas, independientemente de sus características.</w:t>
      </w:r>
    </w:p>
    <w:p w14:paraId="23970DA4" w14:textId="77777777" w:rsidR="00857FBA" w:rsidRPr="00D3267E" w:rsidRDefault="00857FBA" w:rsidP="00857FBA">
      <w:pPr>
        <w:rPr>
          <w:rFonts w:eastAsia="SimSun"/>
          <w:szCs w:val="24"/>
          <w:lang w:val="es-ES"/>
        </w:rPr>
      </w:pPr>
      <w:r w:rsidRPr="00D3267E">
        <w:rPr>
          <w:rFonts w:eastAsia="SimSun"/>
          <w:szCs w:val="24"/>
          <w:lang w:val="es-ES"/>
        </w:rPr>
        <w:t>Para la consolidación de notificaciones de redes de satélites que incluyen cuadros de conexión de haces y nominación de haces cuando el nombre del haz aparece en más de una de las redes objeto de consolidación, se realizarán estudios específicos caso por caso.</w:t>
      </w:r>
    </w:p>
    <w:p w14:paraId="74F31CAC" w14:textId="77777777" w:rsidR="00857FBA" w:rsidRPr="00D3267E" w:rsidRDefault="00857FBA" w:rsidP="00857FBA">
      <w:pPr>
        <w:pStyle w:val="Heading2"/>
        <w:rPr>
          <w:rFonts w:eastAsia="SimSun"/>
          <w:lang w:val="es-ES"/>
        </w:rPr>
      </w:pPr>
      <w:r w:rsidRPr="00D3267E">
        <w:rPr>
          <w:rFonts w:eastAsia="SimSun"/>
          <w:lang w:val="es-ES"/>
        </w:rPr>
        <w:t>2.4</w:t>
      </w:r>
      <w:r w:rsidRPr="00D3267E">
        <w:rPr>
          <w:rFonts w:eastAsia="SimSun"/>
          <w:lang w:val="es-ES"/>
        </w:rPr>
        <w:tab/>
        <w:t xml:space="preserve">Identificador de la notificación y los grupos </w:t>
      </w:r>
    </w:p>
    <w:p w14:paraId="2D9FF95B" w14:textId="77777777" w:rsidR="00857FBA" w:rsidRPr="00D3267E" w:rsidRDefault="00857FBA" w:rsidP="00857FBA">
      <w:pPr>
        <w:rPr>
          <w:rFonts w:eastAsia="SimSun"/>
          <w:szCs w:val="24"/>
          <w:lang w:val="es-ES"/>
        </w:rPr>
      </w:pPr>
      <w:r w:rsidRPr="00D3267E">
        <w:rPr>
          <w:rFonts w:eastAsia="SimSun"/>
          <w:szCs w:val="24"/>
          <w:lang w:val="es-ES"/>
        </w:rPr>
        <w:t xml:space="preserve">Se mantendrá un sólo identificador para la notificación consolidada (ID de notificación); los ID de notificación de las demás redes implicadas inscritas en el Registro se eliminarán del sistema. Se mantendrá el identificador original único de los grupos de asignaciones de frecuencias (ID de grupo), incluida la situación de coordinación. </w:t>
      </w:r>
    </w:p>
    <w:p w14:paraId="6D2DF019" w14:textId="77777777" w:rsidR="00857FBA" w:rsidRPr="00D3267E" w:rsidRDefault="00857FBA" w:rsidP="00857FBA">
      <w:pPr>
        <w:pStyle w:val="Heading1"/>
        <w:rPr>
          <w:rFonts w:eastAsia="SimSun"/>
          <w:lang w:val="es-ES"/>
        </w:rPr>
      </w:pPr>
      <w:r w:rsidRPr="00D3267E">
        <w:rPr>
          <w:rFonts w:eastAsia="SimSun"/>
          <w:lang w:val="es-ES"/>
        </w:rPr>
        <w:t>3</w:t>
      </w:r>
      <w:r w:rsidRPr="00D3267E">
        <w:rPr>
          <w:rFonts w:eastAsia="SimSun"/>
          <w:lang w:val="es-ES"/>
        </w:rPr>
        <w:tab/>
        <w:t>BR IFIC (Servicios espaciales) y Anexo a la BR IFIC</w:t>
      </w:r>
    </w:p>
    <w:p w14:paraId="1660D955" w14:textId="77777777" w:rsidR="00857FBA" w:rsidRPr="00D3267E" w:rsidRDefault="00857FBA" w:rsidP="00857FBA">
      <w:pPr>
        <w:pStyle w:val="Heading2"/>
        <w:rPr>
          <w:rFonts w:eastAsia="SimSun"/>
          <w:lang w:val="es-ES"/>
        </w:rPr>
      </w:pPr>
      <w:r w:rsidRPr="00D3267E">
        <w:rPr>
          <w:rFonts w:eastAsia="SimSun"/>
          <w:lang w:val="es-ES"/>
        </w:rPr>
        <w:t>3.1</w:t>
      </w:r>
      <w:r w:rsidRPr="00D3267E">
        <w:rPr>
          <w:rFonts w:eastAsia="SimSun"/>
          <w:lang w:val="es-ES"/>
        </w:rPr>
        <w:tab/>
        <w:t xml:space="preserve">Parte I-S </w:t>
      </w:r>
    </w:p>
    <w:p w14:paraId="1C7E5B3C" w14:textId="77777777" w:rsidR="00857FBA" w:rsidRPr="00D3267E" w:rsidRDefault="00857FBA" w:rsidP="00857FBA">
      <w:pPr>
        <w:rPr>
          <w:rFonts w:eastAsia="SimSun"/>
          <w:lang w:val="es-ES"/>
        </w:rPr>
      </w:pPr>
      <w:r w:rsidRPr="00D3267E">
        <w:rPr>
          <w:rFonts w:eastAsia="SimSun"/>
          <w:lang w:val="es-ES"/>
        </w:rPr>
        <w:t xml:space="preserve">La información en la red consolidada, incluidas referencias a las redes de satélites implicadas, será publicada en la Parte I-S de la BR IFIC (Servicios Espaciales) y se distribuirá con las respectivas bases de datos (SRS, SPS, AP30B, GIMS, SNL) en el DVD de la BR IFIC sobre servicios espaciales. </w:t>
      </w:r>
    </w:p>
    <w:p w14:paraId="367EDFF8" w14:textId="77777777" w:rsidR="00857FBA" w:rsidRPr="00D3267E" w:rsidRDefault="00857FBA" w:rsidP="00857FBA">
      <w:pPr>
        <w:pStyle w:val="Heading2"/>
        <w:rPr>
          <w:rFonts w:eastAsia="SimSun"/>
          <w:lang w:val="es-ES"/>
        </w:rPr>
      </w:pPr>
      <w:r w:rsidRPr="00D3267E">
        <w:rPr>
          <w:rFonts w:eastAsia="SimSun"/>
          <w:lang w:val="es-ES"/>
        </w:rPr>
        <w:t>3.2</w:t>
      </w:r>
      <w:r w:rsidRPr="00D3267E">
        <w:rPr>
          <w:rFonts w:eastAsia="SimSun"/>
          <w:lang w:val="es-ES"/>
        </w:rPr>
        <w:tab/>
        <w:t xml:space="preserve">Secciones especiales </w:t>
      </w:r>
    </w:p>
    <w:p w14:paraId="3C62F866" w14:textId="53039ED9" w:rsidR="00857FBA" w:rsidRDefault="00857FBA" w:rsidP="00857FBA">
      <w:pPr>
        <w:rPr>
          <w:rFonts w:eastAsia="SimSun"/>
          <w:szCs w:val="24"/>
          <w:lang w:val="es-ES"/>
        </w:rPr>
      </w:pPr>
      <w:r w:rsidRPr="00D3267E">
        <w:rPr>
          <w:rFonts w:eastAsia="SimSun"/>
          <w:szCs w:val="24"/>
          <w:lang w:val="es-ES"/>
        </w:rPr>
        <w:t>No será necesaria una nueva publicación de las secciones especiales (API/A, CR/C, CR/D, AP30/E, AP30A/E, AP30-30A/E/, AP30B/A6B</w:t>
      </w:r>
      <w:r w:rsidR="00243C1F">
        <w:rPr>
          <w:rFonts w:eastAsia="SimSun"/>
          <w:szCs w:val="24"/>
          <w:lang w:val="es-ES"/>
        </w:rPr>
        <w:t> </w:t>
      </w:r>
      <w:r w:rsidRPr="00D3267E">
        <w:rPr>
          <w:rFonts w:eastAsia="SimSun"/>
          <w:szCs w:val="24"/>
          <w:lang w:val="es-ES"/>
        </w:rPr>
        <w:t>...) de las diferentes redes de satélites mencionadas en la red de satélites consolidada inscrita en el Registro. La información relativa a las secciones especiales asociadas y la Parte I-S de las redes de satélites consolidadas se indicará en el Artículo A.13 del Apéndice 4 (Referencia a las secciones especiales publicadas de la BR IFIC).</w:t>
      </w:r>
    </w:p>
    <w:p w14:paraId="4486B689" w14:textId="77777777" w:rsidR="00D433DB" w:rsidRDefault="00D433DB" w:rsidP="00857FBA">
      <w:pPr>
        <w:rPr>
          <w:rFonts w:eastAsia="SimSun"/>
          <w:szCs w:val="24"/>
          <w:lang w:val="es-ES"/>
        </w:rPr>
      </w:pPr>
    </w:p>
    <w:p w14:paraId="593972CA" w14:textId="77777777" w:rsidR="00D433DB" w:rsidRPr="00154DC7" w:rsidRDefault="00D433DB" w:rsidP="00D433DB">
      <w:pPr>
        <w:jc w:val="center"/>
      </w:pPr>
      <w:r w:rsidRPr="00154DC7">
        <w:t>___________________</w:t>
      </w:r>
    </w:p>
    <w:p w14:paraId="5368094B" w14:textId="77777777" w:rsidR="00D433DB" w:rsidRDefault="00D433DB" w:rsidP="00857FBA">
      <w:pPr>
        <w:rPr>
          <w:rFonts w:eastAsia="SimSun"/>
          <w:szCs w:val="24"/>
          <w:lang w:val="es-ES"/>
        </w:rPr>
      </w:pPr>
    </w:p>
    <w:p w14:paraId="579CEBCE" w14:textId="77777777" w:rsidR="00130730" w:rsidRDefault="00130730" w:rsidP="00857FBA">
      <w:pPr>
        <w:rPr>
          <w:rFonts w:eastAsia="SimSun"/>
          <w:szCs w:val="24"/>
          <w:lang w:val="es-ES"/>
        </w:rPr>
        <w:sectPr w:rsidR="00130730" w:rsidSect="00E41FDD">
          <w:headerReference w:type="even" r:id="rId7"/>
          <w:headerReference w:type="default" r:id="rId8"/>
          <w:footnotePr>
            <w:pos w:val="beneathText"/>
            <w:numFmt w:val="chicago"/>
          </w:footnotePr>
          <w:pgSz w:w="11907" w:h="16840" w:code="9"/>
          <w:pgMar w:top="1701" w:right="851" w:bottom="1134" w:left="1985" w:header="720" w:footer="482" w:gutter="0"/>
          <w:cols w:space="720"/>
          <w:vAlign w:val="both"/>
        </w:sectPr>
      </w:pPr>
    </w:p>
    <w:p w14:paraId="68E7D28C" w14:textId="77777777" w:rsidR="00171097" w:rsidRPr="003667EC" w:rsidRDefault="00171097" w:rsidP="00171097">
      <w:pPr>
        <w:rPr>
          <w:lang w:val="es-ES_tradnl"/>
        </w:rPr>
      </w:pPr>
    </w:p>
    <w:p w14:paraId="2B26E304" w14:textId="77777777" w:rsidR="00A60C28" w:rsidRPr="003667EC" w:rsidRDefault="00A60C28">
      <w:pPr>
        <w:rPr>
          <w:lang w:val="es-ES_tradnl"/>
        </w:rPr>
      </w:pPr>
    </w:p>
    <w:sectPr w:rsidR="00A60C28" w:rsidRPr="003667EC" w:rsidSect="009C54F8">
      <w:headerReference w:type="even" r:id="rId9"/>
      <w:headerReference w:type="default" r:id="rId10"/>
      <w:headerReference w:type="first" r:id="rId1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52822" w14:textId="77777777" w:rsidR="007303BC" w:rsidRDefault="007303BC">
      <w:r>
        <w:separator/>
      </w:r>
    </w:p>
  </w:endnote>
  <w:endnote w:type="continuationSeparator" w:id="0">
    <w:p w14:paraId="4F280AA9" w14:textId="77777777" w:rsidR="007303BC" w:rsidRDefault="0073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FE307" w14:textId="77777777" w:rsidR="007303BC" w:rsidRDefault="007303BC">
      <w:r>
        <w:rPr>
          <w:b/>
        </w:rPr>
        <w:t>_______________</w:t>
      </w:r>
    </w:p>
  </w:footnote>
  <w:footnote w:type="continuationSeparator" w:id="0">
    <w:p w14:paraId="06E3C15F" w14:textId="77777777" w:rsidR="007303BC" w:rsidRDefault="00730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06" w:type="dxa"/>
      <w:tblLayout w:type="fixed"/>
      <w:tblCellMar>
        <w:left w:w="0" w:type="dxa"/>
        <w:right w:w="0" w:type="dxa"/>
      </w:tblCellMar>
      <w:tblLook w:val="0000" w:firstRow="0" w:lastRow="0" w:firstColumn="0" w:lastColumn="0" w:noHBand="0" w:noVBand="0"/>
    </w:tblPr>
    <w:tblGrid>
      <w:gridCol w:w="1701"/>
      <w:gridCol w:w="4544"/>
      <w:gridCol w:w="2127"/>
      <w:gridCol w:w="1134"/>
    </w:tblGrid>
    <w:tr w:rsidR="007303BC" w14:paraId="2A4F1EF9" w14:textId="77777777" w:rsidTr="00F035B5">
      <w:trPr>
        <w:cantSplit/>
      </w:trPr>
      <w:tc>
        <w:tcPr>
          <w:tcW w:w="1701" w:type="dxa"/>
          <w:tcBorders>
            <w:top w:val="single" w:sz="6" w:space="0" w:color="auto"/>
            <w:left w:val="single" w:sz="6" w:space="0" w:color="auto"/>
            <w:bottom w:val="single" w:sz="6" w:space="0" w:color="auto"/>
            <w:right w:val="single" w:sz="6" w:space="0" w:color="auto"/>
          </w:tcBorders>
        </w:tcPr>
        <w:p w14:paraId="51B2C88F" w14:textId="77777777" w:rsidR="007303BC" w:rsidRDefault="007303BC" w:rsidP="00E41FDD">
          <w:pPr>
            <w:pStyle w:val="HeaderRegProc"/>
            <w:rPr>
              <w:color w:val="000000"/>
            </w:rPr>
          </w:pPr>
          <w:r>
            <w:rPr>
              <w:color w:val="000000"/>
            </w:rPr>
            <w:t>Parte A1</w:t>
          </w:r>
        </w:p>
      </w:tc>
      <w:tc>
        <w:tcPr>
          <w:tcW w:w="4544" w:type="dxa"/>
          <w:tcBorders>
            <w:top w:val="single" w:sz="6" w:space="0" w:color="auto"/>
            <w:left w:val="single" w:sz="6" w:space="0" w:color="auto"/>
            <w:bottom w:val="single" w:sz="6" w:space="0" w:color="auto"/>
            <w:right w:val="single" w:sz="6" w:space="0" w:color="auto"/>
          </w:tcBorders>
        </w:tcPr>
        <w:p w14:paraId="52C4E599" w14:textId="70402CF6" w:rsidR="007303BC" w:rsidRDefault="00F035B5" w:rsidP="00E41FDD">
          <w:pPr>
            <w:pStyle w:val="HeaderRegProc"/>
            <w:rPr>
              <w:color w:val="000000"/>
            </w:rPr>
          </w:pPr>
          <w:r w:rsidRPr="00F035B5">
            <w:rPr>
              <w:color w:val="000000"/>
            </w:rPr>
            <w:t>Consolidación de asignaciones de frecuencias</w:t>
          </w:r>
        </w:p>
      </w:tc>
      <w:tc>
        <w:tcPr>
          <w:tcW w:w="2127" w:type="dxa"/>
          <w:tcBorders>
            <w:top w:val="single" w:sz="6" w:space="0" w:color="auto"/>
            <w:left w:val="single" w:sz="6" w:space="0" w:color="auto"/>
            <w:bottom w:val="single" w:sz="6" w:space="0" w:color="auto"/>
            <w:right w:val="single" w:sz="6" w:space="0" w:color="auto"/>
          </w:tcBorders>
        </w:tcPr>
        <w:p w14:paraId="66A8FBA4"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134" w:type="dxa"/>
          <w:tcBorders>
            <w:top w:val="single" w:sz="6" w:space="0" w:color="auto"/>
            <w:left w:val="single" w:sz="6" w:space="0" w:color="auto"/>
            <w:bottom w:val="single" w:sz="6" w:space="0" w:color="auto"/>
            <w:right w:val="single" w:sz="6" w:space="0" w:color="auto"/>
          </w:tcBorders>
        </w:tcPr>
        <w:p w14:paraId="7BCAB358" w14:textId="77777777" w:rsidR="007303BC" w:rsidRDefault="007303BC" w:rsidP="00E41FDD">
          <w:pPr>
            <w:pStyle w:val="HeaderRegProc"/>
            <w:rPr>
              <w:color w:val="000000"/>
              <w:lang w:val="fr-CH"/>
            </w:rPr>
          </w:pPr>
          <w:proofErr w:type="gramStart"/>
          <w:r>
            <w:rPr>
              <w:color w:val="000000"/>
              <w:lang w:val="fr-CH"/>
            </w:rPr>
            <w:t>rev</w:t>
          </w:r>
          <w:proofErr w:type="gramEnd"/>
          <w:r>
            <w:rPr>
              <w:color w:val="000000"/>
              <w:lang w:val="fr-CH"/>
            </w:rPr>
            <w:t>. -</w:t>
          </w:r>
        </w:p>
      </w:tc>
    </w:tr>
  </w:tbl>
  <w:p w14:paraId="3863EE6E" w14:textId="77777777" w:rsidR="007303BC" w:rsidRDefault="007303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134"/>
      <w:gridCol w:w="4393"/>
      <w:gridCol w:w="1701"/>
      <w:gridCol w:w="1701"/>
    </w:tblGrid>
    <w:tr w:rsidR="007303BC" w14:paraId="2341D3F3" w14:textId="77777777" w:rsidTr="00F035B5">
      <w:trPr>
        <w:cantSplit/>
        <w:jc w:val="right"/>
      </w:trPr>
      <w:tc>
        <w:tcPr>
          <w:tcW w:w="1134" w:type="dxa"/>
          <w:tcBorders>
            <w:top w:val="single" w:sz="6" w:space="0" w:color="auto"/>
            <w:left w:val="single" w:sz="6" w:space="0" w:color="auto"/>
            <w:bottom w:val="single" w:sz="6" w:space="0" w:color="auto"/>
            <w:right w:val="single" w:sz="6" w:space="0" w:color="auto"/>
          </w:tcBorders>
        </w:tcPr>
        <w:p w14:paraId="6CCE7DF7" w14:textId="77777777" w:rsidR="007303BC" w:rsidRDefault="007303BC">
          <w:pPr>
            <w:pStyle w:val="HeaderRegProc"/>
            <w:rPr>
              <w:color w:val="000000"/>
            </w:rPr>
          </w:pPr>
          <w:r>
            <w:rPr>
              <w:color w:val="000000"/>
            </w:rPr>
            <w:t>Parte A1</w:t>
          </w:r>
        </w:p>
      </w:tc>
      <w:tc>
        <w:tcPr>
          <w:tcW w:w="4393" w:type="dxa"/>
          <w:tcBorders>
            <w:top w:val="single" w:sz="6" w:space="0" w:color="auto"/>
            <w:left w:val="single" w:sz="6" w:space="0" w:color="auto"/>
            <w:bottom w:val="single" w:sz="6" w:space="0" w:color="auto"/>
            <w:right w:val="single" w:sz="6" w:space="0" w:color="auto"/>
          </w:tcBorders>
        </w:tcPr>
        <w:p w14:paraId="48C35182" w14:textId="18C3D35C" w:rsidR="007303BC" w:rsidRDefault="00F035B5">
          <w:pPr>
            <w:pStyle w:val="HeaderRegProc"/>
            <w:rPr>
              <w:color w:val="000000"/>
            </w:rPr>
          </w:pPr>
          <w:r w:rsidRPr="00F035B5">
            <w:rPr>
              <w:color w:val="000000"/>
            </w:rPr>
            <w:t>Consolidación de asignaciones de frecuencias</w:t>
          </w:r>
        </w:p>
      </w:tc>
      <w:tc>
        <w:tcPr>
          <w:tcW w:w="1701" w:type="dxa"/>
          <w:tcBorders>
            <w:top w:val="single" w:sz="6" w:space="0" w:color="auto"/>
            <w:left w:val="single" w:sz="6" w:space="0" w:color="auto"/>
            <w:bottom w:val="single" w:sz="6" w:space="0" w:color="auto"/>
            <w:right w:val="single" w:sz="6" w:space="0" w:color="auto"/>
          </w:tcBorders>
        </w:tcPr>
        <w:p w14:paraId="081ACDE8" w14:textId="77777777" w:rsidR="007303BC" w:rsidRPr="0062524A" w:rsidRDefault="007303BC"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5A036B" w14:textId="77777777" w:rsidR="007303BC" w:rsidRDefault="007303BC" w:rsidP="00D70EFE">
          <w:pPr>
            <w:pStyle w:val="HeaderRegProc"/>
            <w:rPr>
              <w:color w:val="000000"/>
              <w:lang w:val="fr-CH"/>
            </w:rPr>
          </w:pPr>
          <w:proofErr w:type="gramStart"/>
          <w:r>
            <w:rPr>
              <w:color w:val="000000"/>
              <w:lang w:val="fr-CH"/>
            </w:rPr>
            <w:t>rev</w:t>
          </w:r>
          <w:proofErr w:type="gramEnd"/>
          <w:r>
            <w:rPr>
              <w:color w:val="000000"/>
              <w:lang w:val="fr-CH"/>
            </w:rPr>
            <w:t>. -</w:t>
          </w:r>
        </w:p>
      </w:tc>
    </w:tr>
  </w:tbl>
  <w:p w14:paraId="2F6CCDF8" w14:textId="77777777" w:rsidR="007303BC" w:rsidRDefault="007303BC">
    <w:pPr>
      <w:pStyle w:val="Head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743DAE2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C31B9A8" w14:textId="2A0E7FCF" w:rsidR="007303BC" w:rsidRPr="00782C00" w:rsidRDefault="007303BC">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F30730">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AC49A8" w14:textId="7299993C" w:rsidR="007303BC" w:rsidRDefault="002818A1">
          <w:pPr>
            <w:pStyle w:val="HeaderRegProc"/>
            <w:rPr>
              <w:lang w:val="fr-FR"/>
            </w:rPr>
          </w:pPr>
          <w:fldSimple w:instr=" DOCPROPERTY &quot;Header&quot; \* MERGEFORMAT ">
            <w:r w:rsidR="00F30730">
              <w:t>AR</w:t>
            </w:r>
          </w:fldSimple>
          <w:r w:rsidR="007303BC">
            <w:fldChar w:fldCharType="begin"/>
          </w:r>
          <w:r w:rsidR="007303BC">
            <w:instrText>styleref href2</w:instrText>
          </w:r>
          <w:r w:rsidR="007303BC">
            <w:fldChar w:fldCharType="separate"/>
          </w:r>
          <w:r w:rsidR="00F30730">
            <w:rPr>
              <w:b/>
              <w:bCs w:val="0"/>
              <w:noProof/>
              <w:lang w:val="en-US"/>
            </w:rPr>
            <w:t>Error! No text of specified style in document.</w:t>
          </w:r>
          <w:r w:rsidR="007303BC">
            <w:fldChar w:fldCharType="end"/>
          </w:r>
        </w:p>
      </w:tc>
      <w:tc>
        <w:tcPr>
          <w:tcW w:w="1701" w:type="dxa"/>
          <w:tcBorders>
            <w:top w:val="single" w:sz="6" w:space="0" w:color="auto"/>
            <w:left w:val="single" w:sz="6" w:space="0" w:color="auto"/>
            <w:bottom w:val="single" w:sz="6" w:space="0" w:color="auto"/>
            <w:right w:val="single" w:sz="6" w:space="0" w:color="auto"/>
          </w:tcBorders>
        </w:tcPr>
        <w:p w14:paraId="4E9293F6" w14:textId="77777777" w:rsidR="007303BC" w:rsidRDefault="007303BC">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432DB7" w14:textId="39D400C9" w:rsidR="007303BC" w:rsidRDefault="007303BC">
          <w:pPr>
            <w:pStyle w:val="HeaderRegProc"/>
            <w:rPr>
              <w:lang w:val="fr-CH"/>
            </w:rPr>
          </w:pPr>
          <w:proofErr w:type="gramStart"/>
          <w:r>
            <w:rPr>
              <w:lang w:val="fr-CH"/>
            </w:rPr>
            <w:t>rev</w:t>
          </w:r>
          <w:proofErr w:type="gramEnd"/>
          <w:r>
            <w:rPr>
              <w:lang w:val="fr-CH"/>
            </w:rPr>
            <w:t>.</w:t>
          </w:r>
          <w:r>
            <w:fldChar w:fldCharType="begin"/>
          </w:r>
          <w:r>
            <w:rPr>
              <w:lang w:val="fr-CH"/>
            </w:rPr>
            <w:instrText xml:space="preserve"> DOCPROPERTY "Header10" \* MERGEFORMAT </w:instrText>
          </w:r>
          <w:r>
            <w:fldChar w:fldCharType="separate"/>
          </w:r>
          <w:r w:rsidR="00F30730">
            <w:rPr>
              <w:lang w:val="fr-CH"/>
            </w:rPr>
            <w:t>-</w:t>
          </w:r>
          <w:r>
            <w:fldChar w:fldCharType="end"/>
          </w:r>
        </w:p>
      </w:tc>
    </w:tr>
  </w:tbl>
  <w:p w14:paraId="7D4F04DA" w14:textId="77777777" w:rsidR="007303BC" w:rsidRDefault="007303BC">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2375F70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575706C" w14:textId="3F7DFD16" w:rsidR="007303BC" w:rsidRPr="00782C00" w:rsidRDefault="007303BC">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F30730">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566D193" w14:textId="6E54F83D" w:rsidR="007303BC" w:rsidRDefault="002818A1">
          <w:pPr>
            <w:pStyle w:val="HeaderRegProc"/>
            <w:rPr>
              <w:lang w:val="fr-FR"/>
            </w:rPr>
          </w:pPr>
          <w:fldSimple w:instr=" DOCPROPERTY &quot;Header&quot; \* MERGEFORMAT ">
            <w:r w:rsidR="00F30730">
              <w:t>AR</w:t>
            </w:r>
          </w:fldSimple>
          <w:r w:rsidR="007303BC">
            <w:fldChar w:fldCharType="begin"/>
          </w:r>
          <w:r w:rsidR="007303BC">
            <w:instrText>styleref href2</w:instrText>
          </w:r>
          <w:r w:rsidR="007303BC">
            <w:fldChar w:fldCharType="separate"/>
          </w:r>
          <w:r w:rsidR="00F30730">
            <w:rPr>
              <w:b/>
              <w:bCs w:val="0"/>
              <w:noProof/>
              <w:lang w:val="en-US"/>
            </w:rPr>
            <w:t>Error! No text of specified style in document.</w:t>
          </w:r>
          <w:r w:rsidR="007303BC">
            <w:fldChar w:fldCharType="end"/>
          </w:r>
        </w:p>
      </w:tc>
      <w:tc>
        <w:tcPr>
          <w:tcW w:w="1701" w:type="dxa"/>
          <w:tcBorders>
            <w:top w:val="single" w:sz="6" w:space="0" w:color="auto"/>
            <w:left w:val="single" w:sz="6" w:space="0" w:color="auto"/>
            <w:bottom w:val="single" w:sz="6" w:space="0" w:color="auto"/>
            <w:right w:val="single" w:sz="6" w:space="0" w:color="auto"/>
          </w:tcBorders>
        </w:tcPr>
        <w:p w14:paraId="4482D56F" w14:textId="77777777" w:rsidR="007303BC" w:rsidRDefault="007303BC">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42E5C7" w14:textId="1C83AD9B" w:rsidR="007303BC" w:rsidRDefault="007303BC">
          <w:pPr>
            <w:pStyle w:val="HeaderRegProc"/>
            <w:rPr>
              <w:lang w:val="fr-CH"/>
            </w:rPr>
          </w:pPr>
          <w:proofErr w:type="gramStart"/>
          <w:r>
            <w:rPr>
              <w:lang w:val="fr-CH"/>
            </w:rPr>
            <w:t>rev</w:t>
          </w:r>
          <w:proofErr w:type="gramEnd"/>
          <w:r>
            <w:rPr>
              <w:lang w:val="fr-CH"/>
            </w:rPr>
            <w:t>.</w:t>
          </w:r>
          <w:r>
            <w:fldChar w:fldCharType="begin"/>
          </w:r>
          <w:r>
            <w:rPr>
              <w:lang w:val="fr-CH"/>
            </w:rPr>
            <w:instrText xml:space="preserve"> DOCPROPERTY "Header10" \* MERGEFORMAT </w:instrText>
          </w:r>
          <w:r>
            <w:fldChar w:fldCharType="separate"/>
          </w:r>
          <w:r w:rsidR="00F30730">
            <w:rPr>
              <w:lang w:val="fr-CH"/>
            </w:rPr>
            <w:t>-</w:t>
          </w:r>
          <w:r>
            <w:fldChar w:fldCharType="end"/>
          </w:r>
        </w:p>
      </w:tc>
    </w:tr>
  </w:tbl>
  <w:p w14:paraId="7F93C646" w14:textId="77777777" w:rsidR="007303BC" w:rsidRDefault="007303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7837E" w14:textId="77777777" w:rsidR="007303BC" w:rsidRDefault="007303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6497"/>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C8C"/>
    <w:rsid w:val="00002269"/>
    <w:rsid w:val="00007AA8"/>
    <w:rsid w:val="00014758"/>
    <w:rsid w:val="00025ECD"/>
    <w:rsid w:val="00033BEB"/>
    <w:rsid w:val="000343C9"/>
    <w:rsid w:val="00042807"/>
    <w:rsid w:val="00073433"/>
    <w:rsid w:val="00073763"/>
    <w:rsid w:val="000809F6"/>
    <w:rsid w:val="00084978"/>
    <w:rsid w:val="00087EB6"/>
    <w:rsid w:val="0009055E"/>
    <w:rsid w:val="000A24DA"/>
    <w:rsid w:val="000A6753"/>
    <w:rsid w:val="000D5CB8"/>
    <w:rsid w:val="000E7FB4"/>
    <w:rsid w:val="000F043D"/>
    <w:rsid w:val="000F3E5A"/>
    <w:rsid w:val="00106427"/>
    <w:rsid w:val="00130730"/>
    <w:rsid w:val="00131423"/>
    <w:rsid w:val="00141CA8"/>
    <w:rsid w:val="00145089"/>
    <w:rsid w:val="00151019"/>
    <w:rsid w:val="00157BE3"/>
    <w:rsid w:val="00163294"/>
    <w:rsid w:val="00170AA7"/>
    <w:rsid w:val="00171097"/>
    <w:rsid w:val="0017350B"/>
    <w:rsid w:val="001926B4"/>
    <w:rsid w:val="001929B4"/>
    <w:rsid w:val="001A29BD"/>
    <w:rsid w:val="001A74A8"/>
    <w:rsid w:val="001B34F3"/>
    <w:rsid w:val="001B4FEE"/>
    <w:rsid w:val="001B6F4B"/>
    <w:rsid w:val="001D4D9D"/>
    <w:rsid w:val="001E33F5"/>
    <w:rsid w:val="001E4B6D"/>
    <w:rsid w:val="001E71F0"/>
    <w:rsid w:val="00202D8A"/>
    <w:rsid w:val="00231A73"/>
    <w:rsid w:val="002400F2"/>
    <w:rsid w:val="00243A7A"/>
    <w:rsid w:val="00243B84"/>
    <w:rsid w:val="00243C1F"/>
    <w:rsid w:val="002606DA"/>
    <w:rsid w:val="002611BA"/>
    <w:rsid w:val="00261E6D"/>
    <w:rsid w:val="00263244"/>
    <w:rsid w:val="00273900"/>
    <w:rsid w:val="00275DC3"/>
    <w:rsid w:val="002818A1"/>
    <w:rsid w:val="002855F0"/>
    <w:rsid w:val="00285A0D"/>
    <w:rsid w:val="00290328"/>
    <w:rsid w:val="002956CA"/>
    <w:rsid w:val="0029768E"/>
    <w:rsid w:val="002C5784"/>
    <w:rsid w:val="002D51CF"/>
    <w:rsid w:val="002E7999"/>
    <w:rsid w:val="002F07F7"/>
    <w:rsid w:val="003011F9"/>
    <w:rsid w:val="00312F2B"/>
    <w:rsid w:val="003155E4"/>
    <w:rsid w:val="00316036"/>
    <w:rsid w:val="00323936"/>
    <w:rsid w:val="00334C36"/>
    <w:rsid w:val="003379CE"/>
    <w:rsid w:val="00340DF3"/>
    <w:rsid w:val="003421C9"/>
    <w:rsid w:val="003511A6"/>
    <w:rsid w:val="00353B4B"/>
    <w:rsid w:val="00354082"/>
    <w:rsid w:val="00355CA5"/>
    <w:rsid w:val="00363FC4"/>
    <w:rsid w:val="00364B5B"/>
    <w:rsid w:val="003667EC"/>
    <w:rsid w:val="00376B7F"/>
    <w:rsid w:val="00380438"/>
    <w:rsid w:val="00384465"/>
    <w:rsid w:val="00397807"/>
    <w:rsid w:val="003A212D"/>
    <w:rsid w:val="003A2B3C"/>
    <w:rsid w:val="003B3F7A"/>
    <w:rsid w:val="003C601A"/>
    <w:rsid w:val="003F178D"/>
    <w:rsid w:val="003F1DCA"/>
    <w:rsid w:val="003F4605"/>
    <w:rsid w:val="003F5E8B"/>
    <w:rsid w:val="003F7F87"/>
    <w:rsid w:val="00402C5C"/>
    <w:rsid w:val="004102CD"/>
    <w:rsid w:val="004270DD"/>
    <w:rsid w:val="004306BF"/>
    <w:rsid w:val="00432D3A"/>
    <w:rsid w:val="00437321"/>
    <w:rsid w:val="00437E8C"/>
    <w:rsid w:val="00443745"/>
    <w:rsid w:val="004609E2"/>
    <w:rsid w:val="004623D9"/>
    <w:rsid w:val="00493826"/>
    <w:rsid w:val="004962F1"/>
    <w:rsid w:val="004B0B17"/>
    <w:rsid w:val="004B74BC"/>
    <w:rsid w:val="004C1035"/>
    <w:rsid w:val="004C365A"/>
    <w:rsid w:val="004C44AE"/>
    <w:rsid w:val="004C6036"/>
    <w:rsid w:val="004C7294"/>
    <w:rsid w:val="004C789C"/>
    <w:rsid w:val="004D2453"/>
    <w:rsid w:val="00510FE2"/>
    <w:rsid w:val="00514FDE"/>
    <w:rsid w:val="00515A02"/>
    <w:rsid w:val="005164F3"/>
    <w:rsid w:val="005212EF"/>
    <w:rsid w:val="005213D7"/>
    <w:rsid w:val="00525B76"/>
    <w:rsid w:val="0055260C"/>
    <w:rsid w:val="00552F92"/>
    <w:rsid w:val="00580ACB"/>
    <w:rsid w:val="00581AB1"/>
    <w:rsid w:val="00582968"/>
    <w:rsid w:val="00585B28"/>
    <w:rsid w:val="00585E27"/>
    <w:rsid w:val="00587B8C"/>
    <w:rsid w:val="005913DD"/>
    <w:rsid w:val="0059231A"/>
    <w:rsid w:val="00594CF0"/>
    <w:rsid w:val="005A1C6C"/>
    <w:rsid w:val="005A408A"/>
    <w:rsid w:val="005B4993"/>
    <w:rsid w:val="005D3354"/>
    <w:rsid w:val="005D38B8"/>
    <w:rsid w:val="005E5EFE"/>
    <w:rsid w:val="005E750A"/>
    <w:rsid w:val="006050D0"/>
    <w:rsid w:val="006159FB"/>
    <w:rsid w:val="00624015"/>
    <w:rsid w:val="0062524A"/>
    <w:rsid w:val="0064339D"/>
    <w:rsid w:val="00653B0A"/>
    <w:rsid w:val="006541ED"/>
    <w:rsid w:val="0066792B"/>
    <w:rsid w:val="00671B06"/>
    <w:rsid w:val="006746D2"/>
    <w:rsid w:val="00676A4C"/>
    <w:rsid w:val="00676B57"/>
    <w:rsid w:val="00685DBD"/>
    <w:rsid w:val="006A5246"/>
    <w:rsid w:val="006B10B0"/>
    <w:rsid w:val="006B1FA3"/>
    <w:rsid w:val="006B6892"/>
    <w:rsid w:val="006D45DA"/>
    <w:rsid w:val="006E128E"/>
    <w:rsid w:val="006E3C11"/>
    <w:rsid w:val="00700F38"/>
    <w:rsid w:val="007025D6"/>
    <w:rsid w:val="00710A76"/>
    <w:rsid w:val="007142E9"/>
    <w:rsid w:val="00727D35"/>
    <w:rsid w:val="007303BC"/>
    <w:rsid w:val="007359FE"/>
    <w:rsid w:val="00735FE0"/>
    <w:rsid w:val="007429E4"/>
    <w:rsid w:val="0074662C"/>
    <w:rsid w:val="00756910"/>
    <w:rsid w:val="0077079D"/>
    <w:rsid w:val="00770D86"/>
    <w:rsid w:val="00771F68"/>
    <w:rsid w:val="00774C65"/>
    <w:rsid w:val="00782C00"/>
    <w:rsid w:val="007A21C3"/>
    <w:rsid w:val="007A3BDE"/>
    <w:rsid w:val="007B5234"/>
    <w:rsid w:val="007C0E12"/>
    <w:rsid w:val="007C0F78"/>
    <w:rsid w:val="007E3FFE"/>
    <w:rsid w:val="007F700A"/>
    <w:rsid w:val="008036F8"/>
    <w:rsid w:val="0081048C"/>
    <w:rsid w:val="00820A8C"/>
    <w:rsid w:val="0082172F"/>
    <w:rsid w:val="008254E1"/>
    <w:rsid w:val="00827074"/>
    <w:rsid w:val="0083715B"/>
    <w:rsid w:val="00842CB9"/>
    <w:rsid w:val="008475FA"/>
    <w:rsid w:val="00857FBA"/>
    <w:rsid w:val="00862DC2"/>
    <w:rsid w:val="008709D6"/>
    <w:rsid w:val="00871B18"/>
    <w:rsid w:val="00873EF9"/>
    <w:rsid w:val="0088251D"/>
    <w:rsid w:val="00890F16"/>
    <w:rsid w:val="008A04C4"/>
    <w:rsid w:val="008A4B01"/>
    <w:rsid w:val="008A784F"/>
    <w:rsid w:val="008B66A6"/>
    <w:rsid w:val="008D3F16"/>
    <w:rsid w:val="009056FF"/>
    <w:rsid w:val="009243FB"/>
    <w:rsid w:val="0092491E"/>
    <w:rsid w:val="00934300"/>
    <w:rsid w:val="00947C8C"/>
    <w:rsid w:val="0095388D"/>
    <w:rsid w:val="009749F0"/>
    <w:rsid w:val="0097772C"/>
    <w:rsid w:val="00997054"/>
    <w:rsid w:val="009A2F2C"/>
    <w:rsid w:val="009A5612"/>
    <w:rsid w:val="009A6831"/>
    <w:rsid w:val="009B0E26"/>
    <w:rsid w:val="009B4895"/>
    <w:rsid w:val="009C3798"/>
    <w:rsid w:val="009C54F8"/>
    <w:rsid w:val="009C6C75"/>
    <w:rsid w:val="009D0297"/>
    <w:rsid w:val="009E52D0"/>
    <w:rsid w:val="009F15F9"/>
    <w:rsid w:val="00A00B06"/>
    <w:rsid w:val="00A160F1"/>
    <w:rsid w:val="00A36A08"/>
    <w:rsid w:val="00A60C28"/>
    <w:rsid w:val="00A650B3"/>
    <w:rsid w:val="00A76EAD"/>
    <w:rsid w:val="00A80144"/>
    <w:rsid w:val="00A841B7"/>
    <w:rsid w:val="00A8577C"/>
    <w:rsid w:val="00A963AA"/>
    <w:rsid w:val="00AA0190"/>
    <w:rsid w:val="00AA6D4D"/>
    <w:rsid w:val="00AB6150"/>
    <w:rsid w:val="00AB7173"/>
    <w:rsid w:val="00AC094B"/>
    <w:rsid w:val="00AC3017"/>
    <w:rsid w:val="00AE5F97"/>
    <w:rsid w:val="00AF0BF6"/>
    <w:rsid w:val="00AF7287"/>
    <w:rsid w:val="00B05D12"/>
    <w:rsid w:val="00B0754A"/>
    <w:rsid w:val="00B35150"/>
    <w:rsid w:val="00B4459B"/>
    <w:rsid w:val="00B643BE"/>
    <w:rsid w:val="00B76760"/>
    <w:rsid w:val="00B90E64"/>
    <w:rsid w:val="00B97C02"/>
    <w:rsid w:val="00BA4474"/>
    <w:rsid w:val="00BA65FC"/>
    <w:rsid w:val="00BB5039"/>
    <w:rsid w:val="00BC75E2"/>
    <w:rsid w:val="00BE0EE8"/>
    <w:rsid w:val="00BF0573"/>
    <w:rsid w:val="00BF2F88"/>
    <w:rsid w:val="00C03BB1"/>
    <w:rsid w:val="00C124BB"/>
    <w:rsid w:val="00C13E79"/>
    <w:rsid w:val="00C23ED0"/>
    <w:rsid w:val="00C30B0F"/>
    <w:rsid w:val="00C522B9"/>
    <w:rsid w:val="00C54CFD"/>
    <w:rsid w:val="00C75779"/>
    <w:rsid w:val="00C93AC2"/>
    <w:rsid w:val="00CA2E46"/>
    <w:rsid w:val="00CA33C4"/>
    <w:rsid w:val="00CD7CA4"/>
    <w:rsid w:val="00CE260D"/>
    <w:rsid w:val="00CE3DE4"/>
    <w:rsid w:val="00CE4342"/>
    <w:rsid w:val="00D00CA3"/>
    <w:rsid w:val="00D01428"/>
    <w:rsid w:val="00D15B32"/>
    <w:rsid w:val="00D16069"/>
    <w:rsid w:val="00D223F5"/>
    <w:rsid w:val="00D2326A"/>
    <w:rsid w:val="00D26314"/>
    <w:rsid w:val="00D405CB"/>
    <w:rsid w:val="00D433DB"/>
    <w:rsid w:val="00D43A78"/>
    <w:rsid w:val="00D448F7"/>
    <w:rsid w:val="00D47A90"/>
    <w:rsid w:val="00D561C2"/>
    <w:rsid w:val="00D6002A"/>
    <w:rsid w:val="00D70EFE"/>
    <w:rsid w:val="00D71E4B"/>
    <w:rsid w:val="00D72BCF"/>
    <w:rsid w:val="00D74F5F"/>
    <w:rsid w:val="00DA47A4"/>
    <w:rsid w:val="00DB387B"/>
    <w:rsid w:val="00DC5BEC"/>
    <w:rsid w:val="00DD0038"/>
    <w:rsid w:val="00DE1E30"/>
    <w:rsid w:val="00DE2B84"/>
    <w:rsid w:val="00DF5A15"/>
    <w:rsid w:val="00E00708"/>
    <w:rsid w:val="00E14361"/>
    <w:rsid w:val="00E20345"/>
    <w:rsid w:val="00E239D8"/>
    <w:rsid w:val="00E30F08"/>
    <w:rsid w:val="00E41412"/>
    <w:rsid w:val="00E41FDD"/>
    <w:rsid w:val="00E52D87"/>
    <w:rsid w:val="00E55618"/>
    <w:rsid w:val="00E573EE"/>
    <w:rsid w:val="00E6127D"/>
    <w:rsid w:val="00E90A91"/>
    <w:rsid w:val="00EA2D8D"/>
    <w:rsid w:val="00EA6945"/>
    <w:rsid w:val="00EF41B3"/>
    <w:rsid w:val="00EF6BA1"/>
    <w:rsid w:val="00F01943"/>
    <w:rsid w:val="00F035B5"/>
    <w:rsid w:val="00F064A9"/>
    <w:rsid w:val="00F07F11"/>
    <w:rsid w:val="00F10B0B"/>
    <w:rsid w:val="00F15E33"/>
    <w:rsid w:val="00F17FBF"/>
    <w:rsid w:val="00F23BAE"/>
    <w:rsid w:val="00F30730"/>
    <w:rsid w:val="00F4327C"/>
    <w:rsid w:val="00F5147F"/>
    <w:rsid w:val="00F566E3"/>
    <w:rsid w:val="00F56981"/>
    <w:rsid w:val="00F577D1"/>
    <w:rsid w:val="00F60ECF"/>
    <w:rsid w:val="00F74C0C"/>
    <w:rsid w:val="00FB02FE"/>
    <w:rsid w:val="00FB0FA5"/>
    <w:rsid w:val="00FB2095"/>
    <w:rsid w:val="00FB6506"/>
    <w:rsid w:val="00FB7448"/>
    <w:rsid w:val="00FC293D"/>
    <w:rsid w:val="00FE6D36"/>
    <w:rsid w:val="00FF225F"/>
    <w:rsid w:val="00FF37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61555BD5"/>
  <w15:docId w15:val="{5A5FB703-7738-49A9-8FCC-2211DBB5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rsid w:val="00F566E3"/>
    <w:pPr>
      <w:keepNext/>
      <w:keepLines/>
      <w:spacing w:before="720"/>
      <w:jc w:val="center"/>
      <w:outlineLvl w:val="0"/>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BodyText">
    <w:name w:val="Body Text"/>
    <w:basedOn w:val="Normal"/>
    <w:rPr>
      <w:color w:val="000000"/>
      <w:lang w:val="es-ES"/>
    </w:rPr>
  </w:style>
  <w:style w:type="character" w:customStyle="1" w:styleId="enumlev1Char">
    <w:name w:val="enumlev1 Char"/>
    <w:basedOn w:val="DefaultParagraphFont"/>
    <w:link w:val="enumlev1"/>
    <w:rsid w:val="00D561C2"/>
    <w:rPr>
      <w:sz w:val="24"/>
      <w:lang w:val="en-GB" w:eastAsia="en-US"/>
    </w:rPr>
  </w:style>
  <w:style w:type="paragraph" w:customStyle="1" w:styleId="Proposal">
    <w:name w:val="Proposal"/>
    <w:basedOn w:val="Normal"/>
    <w:next w:val="Normal"/>
    <w:rsid w:val="00857FBA"/>
    <w:pPr>
      <w:keepNext/>
      <w:spacing w:before="240"/>
      <w:jc w:val="left"/>
    </w:pPr>
    <w:rPr>
      <w:rFonts w:hAnsi="Times New Roman Bold"/>
      <w:lang w:val="es-ES_tradnl"/>
    </w:rPr>
  </w:style>
  <w:style w:type="paragraph" w:styleId="BalloonText">
    <w:name w:val="Balloon Text"/>
    <w:basedOn w:val="Normal"/>
    <w:link w:val="BalloonTextChar"/>
    <w:rsid w:val="00BE0EE8"/>
    <w:pPr>
      <w:spacing w:before="0"/>
    </w:pPr>
    <w:rPr>
      <w:rFonts w:ascii="Tahoma" w:hAnsi="Tahoma" w:cs="Tahoma"/>
      <w:sz w:val="16"/>
      <w:szCs w:val="16"/>
    </w:rPr>
  </w:style>
  <w:style w:type="character" w:customStyle="1" w:styleId="BalloonTextChar">
    <w:name w:val="Balloon Text Char"/>
    <w:basedOn w:val="DefaultParagraphFont"/>
    <w:link w:val="BalloonText"/>
    <w:rsid w:val="00BE0EE8"/>
    <w:rPr>
      <w:rFonts w:ascii="Tahoma" w:hAnsi="Tahoma" w:cs="Tahoma"/>
      <w:sz w:val="16"/>
      <w:szCs w:val="16"/>
      <w:lang w:val="en-GB" w:eastAsia="en-US"/>
    </w:rPr>
  </w:style>
  <w:style w:type="character" w:customStyle="1" w:styleId="HeaderChar">
    <w:name w:val="Header Char"/>
    <w:aliases w:val="encabezado Char"/>
    <w:basedOn w:val="DefaultParagraphFont"/>
    <w:link w:val="Header"/>
    <w:rsid w:val="00BE0EE8"/>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685DBD"/>
    <w:rPr>
      <w:lang w:val="en-GB" w:eastAsia="en-US"/>
    </w:rPr>
  </w:style>
  <w:style w:type="paragraph" w:customStyle="1" w:styleId="Reasons">
    <w:name w:val="Reasons"/>
    <w:basedOn w:val="Normal"/>
    <w:qFormat/>
    <w:rsid w:val="006159FB"/>
    <w:pPr>
      <w:tabs>
        <w:tab w:val="clear" w:pos="1871"/>
        <w:tab w:val="clear" w:pos="2268"/>
        <w:tab w:val="left" w:pos="1588"/>
        <w:tab w:val="left" w:pos="1985"/>
      </w:tabs>
      <w:spacing w:before="120"/>
      <w:jc w:val="left"/>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F18DD-2033-415B-B193-A3046157A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TotalTime>
  <Pages>3</Pages>
  <Words>739</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Règles de procédures / Edition 20024</vt:lpstr>
    </vt:vector>
  </TitlesOfParts>
  <Manager>C--107223/DD</Manager>
  <Company>ITU</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20024</dc:title>
  <dc:subject>Art. 11</dc:subject>
  <dc:creator>Composition des Publications</dc:creator>
  <cp:keywords>Folios: 1 - 24 (blanc)</cp:keywords>
  <dc:description>Edition 2009:  12.02.2009/DD  (dict. ok)_x000d_
Corr. 1ère interne:  09.03.2009/DD</dc:description>
  <cp:lastModifiedBy>Saez Grau, Ricardo</cp:lastModifiedBy>
  <cp:revision>7</cp:revision>
  <cp:lastPrinted>2026-01-29T14:25:00Z</cp:lastPrinted>
  <dcterms:created xsi:type="dcterms:W3CDTF">2025-12-05T10:24:00Z</dcterms:created>
  <dcterms:modified xsi:type="dcterms:W3CDTF">2026-01-29T14:25:00Z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